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B4" w:rsidRPr="008B4EB4" w:rsidRDefault="008B4EB4" w:rsidP="008B4EB4">
      <w:pPr>
        <w:framePr w:hSpace="180" w:wrap="around" w:vAnchor="text" w:hAnchor="page" w:x="1666" w:y="4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4E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B4" w:rsidRPr="008B4EB4" w:rsidRDefault="008B4EB4" w:rsidP="008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B4E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Mузeј позоришне уметности Србије</w:t>
      </w:r>
    </w:p>
    <w:p w:rsidR="008B4EB4" w:rsidRPr="008B4EB4" w:rsidRDefault="008B4EB4" w:rsidP="008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Господар Јевремова19</w:t>
      </w:r>
    </w:p>
    <w:p w:rsidR="008B4EB4" w:rsidRPr="008B4EB4" w:rsidRDefault="008B4EB4" w:rsidP="008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Телефон: 2626-630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l-SI"/>
        </w:rPr>
        <w:t>Fax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: 2628-920</w:t>
      </w:r>
    </w:p>
    <w:p w:rsidR="008B4EB4" w:rsidRPr="008B4EB4" w:rsidRDefault="008B4EB4" w:rsidP="008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4EB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e-mail: </w:t>
      </w:r>
      <w:hyperlink r:id="rId9" w:history="1">
        <w:r w:rsidRPr="008B4E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l-SI"/>
          </w:rPr>
          <w:t>office</w:t>
        </w:r>
        <w:r w:rsidRPr="008B4E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@mpus.org.rs</w:t>
        </w:r>
      </w:hyperlink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www.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mups.org.rs</w:t>
      </w:r>
    </w:p>
    <w:p w:rsidR="008B4EB4" w:rsidRPr="008B4EB4" w:rsidRDefault="008B4EB4" w:rsidP="008B4E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бр. </w:t>
      </w:r>
      <w:r w:rsidR="00FF794E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Београд, </w:t>
      </w:r>
      <w:r w:rsidR="00FF794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F794E">
        <w:rPr>
          <w:rFonts w:ascii="Times New Roman" w:eastAsia="Times New Roman" w:hAnsi="Times New Roman" w:cs="Times New Roman"/>
          <w:sz w:val="24"/>
          <w:szCs w:val="24"/>
          <w:lang w:val="sr-Latn-RS"/>
        </w:rPr>
        <w:t>05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. 201</w:t>
      </w:r>
      <w:r w:rsidRPr="008B4E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B4EB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год.</w:t>
      </w:r>
      <w:bookmarkStart w:id="0" w:name="_GoBack"/>
      <w:bookmarkEnd w:id="0"/>
    </w:p>
    <w:p w:rsidR="008B4EB4" w:rsidRPr="00677AC6" w:rsidRDefault="008B4EB4" w:rsidP="00A9377A">
      <w:pPr>
        <w:shd w:val="clear" w:color="auto" w:fill="FFFFFF"/>
        <w:spacing w:after="450" w:line="240" w:lineRule="auto"/>
        <w:jc w:val="both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9377A" w:rsidRPr="00677AC6" w:rsidRDefault="00A9377A" w:rsidP="008B4EB4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caps/>
          <w:sz w:val="24"/>
          <w:szCs w:val="24"/>
        </w:rPr>
        <w:t>УРЕЂИВАЧКА ПОЛИТИКА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Уређивачка политика Театрон ISSN 0351-7500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На основу члана 8. ста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в 1. тачка 11) Закона о култури Република Србије („Сл.гласник РС“, бр.72/09 и 13/2016</w:t>
      </w:r>
      <w:r w:rsidR="00FF794E">
        <w:rPr>
          <w:rFonts w:ascii="Times New Roman" w:eastAsia="Times New Roman" w:hAnsi="Times New Roman" w:cs="Times New Roman"/>
          <w:sz w:val="24"/>
          <w:szCs w:val="24"/>
        </w:rPr>
        <w:t>)  и  члана  18. став 4.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Статута Музе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ја позоришне уметности Србије,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у оквиру 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издавачке делатности Музеја, издаје се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часопис „Театрон ˮ.</w:t>
      </w:r>
    </w:p>
    <w:p w:rsidR="00A9377A" w:rsidRPr="00677AC6" w:rsidRDefault="00507B0D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Музеј је 1974. године покренуо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 своје гласило – часопис „Театронˮ, часопис за позоришну историју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театрологију, који има за циљ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да презентује научно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истраживачке радове о историји националног позо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ришта и утицаја других култура на развој позоришне уметности као и савремених токова у развоју позоришног живота у Србији.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Значај и 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логу позоришне уметности Србије у позоришном животу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некадашње државе Југославије.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Објављивање часописа „Театронˮ од његовог излажења 1974. године и надаље финансира   Министарство културе и информисања из р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епубличких буџетских средстава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 има нау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чни статус М51 (категоризација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: домаћи научни часопис).</w:t>
      </w:r>
    </w:p>
    <w:p w:rsidR="00A9377A" w:rsidRPr="00677AC6" w:rsidRDefault="00507B0D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Часопис „Театронˮ обухвата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: историјске теме, текстове и преписке из старих рукописа, истраживања и студије из српске позоришне историје, место и значај у  светским оквирима, хронике ( рецензије књига из области позоришне уметности, записе са скупова и дискусија, позоришта у сећањима савременика и савремени позоришни живот, in memoriam ), студије личности њихов значај и улога  у  позоришној уметности  Србије  и објављивање драмских дела која су добила  друштвена признања и необјављена драмска дела значајних српских писаца и изложбе.</w:t>
      </w:r>
    </w:p>
    <w:p w:rsidR="00A9377A" w:rsidRPr="00677AC6" w:rsidRDefault="00507B0D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Часопис „Театронˮ објављује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оригиналн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е, претходно необјављене радове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 оригиналне, научне, стручне и прегледне радове, приказе стар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их рукописа и књига, докумената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 научноистраживачке радове или чланке, прегледне научноистраживачке или стр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учне радове или чланке, приказе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старих рукопис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 из области позоришне уметности.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Рукописи мора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ју да бити написани на српском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 xml:space="preserve">зику, са резимеима на енглеском/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за радове на српском језику.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ОБАВЕЗЕ УРЕДНИКА И РЕДАКЦИЈЕ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Главни уредник часописа „ Театронˮ доноси коначну одлуку о теми часописа и рукописа који ће се објавити. У доношењу одлуке главн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и уредник мора да се придржава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законских и с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татутарних овлашћења, при томе са посебном пажњом на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законске пр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описе који се односе на клевету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 кршењу ауторских права и плагирања.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Главни уредник има дискреци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оно право да примљене рукописе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процени и да их не објави, под условом да утврди да не одговарају прописаним садржин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ским и формалним критеријумима,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да обавести аутора о томе да му текст није прихваћен 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најкасније у року од 15. дана (месец дана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) од датума истеклог за пријем рукописа. Глав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 xml:space="preserve">ни уредник и чланови редакције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кој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и се ангажује на основу уговора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у скл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аду са законом не могу да имају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 xml:space="preserve"> било ком основу сукоб интереса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везаног за рукописе који се разматарају. Уколико постоји сукоб интереса код код једног члана редакције, он се искључује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 xml:space="preserve"> из поступка избора рецезента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одлучивања у избору рукописа. У том случају, главни уредник часописа дужан је да благовремено пријаве постојање су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коба интереса овлашћеном лицу 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музеју за пријем информација о кршење п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рописа у складу са општим актом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Музеја.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Главни уредник и уредник часописа дужни су да у одлучива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њу рукописа који ће се објавити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суде на основу његовог садржаја без расних, полних/родних, верских, етничких или политичких предрасуда.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Уредник часописа „ 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Театронˮ необјављени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материјал из предатих рукописа не сме да користи 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за своја истраживања. Уколико уредник добије писмену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дозволу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 xml:space="preserve"> од стране аутора необјављеног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рукописа може да га користи за своја истраживања у складу са Законом о ауторским и сродним п</w:t>
      </w:r>
      <w:r w:rsidR="00507B0D" w:rsidRPr="00677AC6">
        <w:rPr>
          <w:rFonts w:ascii="Times New Roman" w:eastAsia="Times New Roman" w:hAnsi="Times New Roman" w:cs="Times New Roman"/>
          <w:sz w:val="24"/>
          <w:szCs w:val="24"/>
        </w:rPr>
        <w:t>равима. Све информације и идеје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које с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у изнесене у предатом рукопису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морају да се чувају као поверљиве и не могу да се користе за стицање личне користи од стране уредника нити да их Музеј користи у било ком облику у комерцијлане сврхе.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Уредник часописа „Театронˮ дужан 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је да преузме све потребне мере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да индитет рецен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зента остане непознат ауторима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пре, током и 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>по обављеном поступка рецензије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 као и да индентитет аутора остане непознат рецензентима до окончања поступка рецензије.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ОБАВЕЗА АУТОРА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у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складу са законом обавезни су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да гарантују да рукописи представљају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њихове оригиналане доприносе,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да нису објављени раније у другим публикацијама и да нису истовремено предати другом издавачу ради објављивања или разматрања. Уколико су аутори истовремен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о предали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оје рукописе другим часописима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извршили су кршење етички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х стандарда и рукописи се одмах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искључуу из даљег разматрања.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су дужни да писмено гарантују да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без сагласности Издавача – Муз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еја после објављивања рукописа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у часопису „Театро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н“</w:t>
      </w:r>
      <w:r w:rsidR="00644A0E" w:rsidRPr="0067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неће да га  објављују у другим  публикацијама  у земљи и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иностранству на било ком језику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Када је послати рукопис резулт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ат научноистраживачког пројекта или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је претходно био изложен на с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купу у виду усменог саопштења (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под истим или сличним насловом)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аутори су дужни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да наведу детаљне податке о п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ројекту односно скупу и слично у фусноти на почетку текста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рукописа.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Радови који су већ објављ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ени у другим часописима не могу да се прештампају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у часопис „Театрон“. Аутори су дужни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да се придржавају етичких стандарда који се односе на научноистраживачки рад.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се обавезују да гарантују и да рукописи не садрже неоснован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е или незаконите тврдње и да се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не крше права других утврђених законом.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Аутори су дужни 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да рукописе предају издавачу – Музеју у електронском облику у стандардизованом А4 формату који подразумевају следеће параметре: висину страница 29,7 цм и ширину стране 21 цм. Параметре графичког дизајна и његове виртуелне изгледе аутори д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ефинишу у договору са уредником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, као што су:  наслови, подна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слови, означавање слике, табеле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, фусноте и сл.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Музеј – издавач часописа неће сносити никакву одговорност услучају постављања било каквих захтева од аутора односно трећих лица за накнаду штете.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САДРЖАЈ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РАДА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Рад треба да садржи довољно детаља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рефере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нце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како би се рецезентима, као и читаоцима омогућило да провере тврдње које су у њему изнесене.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Прикази и стручни чланци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морају да буду прецизни и објективни.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Уколико аутори намерно износе нетачне тврдње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оне представљају кршење етичких стандарда.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сносе сву одговорност за садржај п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редатих рукописа и дужни су да,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ако је потребно у складу са Законом о ауторским и сродним правима да прибаве сагласност од стране физичких или правних лица који су непосредно учествовали у истраживању које је у рукопису представљено.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који у свој рад укључе илустрације, табеле или друге податке односно документацију који су већ негде била обављењи дужни су, да у складу са Законом о ауторским и сродним правима, прибаве сагласност носиоца аторског права. Уколико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аутори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не достави такве док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азе, Музеј –  издавач сматраће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их оригиналним делом аутора.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АУТОРСТВО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На основу Закон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 о ауторским и сродним правима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аутори су дужни да наведу само она лица која су знача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јно допринела садржају рукописа као кооауторе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.  Уколи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ко су у битним деловима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истраживачког пројекта и припреми рукописа учествовала поред аутора и друга лица која по закону нису аутори, њихов допринос треба поменути у напоменама или захвалници.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НАВОЂЕЊЕ ИЗВОРА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На основу Закон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 о ауторским и сродним правима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аутори су дужни да исправно цитирају изворе који су битно утицали на садржај истраживања и рукописа. Уколико су добијене информације у приватним разговорима или у коресподенцији са трећим лицима, 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утори не могу да их користе без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писмене дозволе од стране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правних или физичких лица који су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аутору пружили информацију.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ПЛАГИЈАТИЗАМ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агирање представља грубо кршење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научне и издав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ачке етике.  Плагијат обухвата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– дословно или готово дословно преузимање или смишљено парафразирање (у циљу прикривање плагијата) делова текстова других аутора без јасног указивања на извор или обележавање копираних фрагмената (нпр. коришћење наводника),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– навођење туђих радов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 без правилног навођења извора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/или без дозволе аутора или носиоца ауторског права.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Ако се установи да је рад који је објављен у часопису плагијат, исти ће бити повучен п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о законској утврђеној процедури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 а аутору ће бити забрањено да своје радове објављује у часопису.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СУКОБ ИНТЕРЕСА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Аутори су у складу са законом дужни да укажу овлашћеном лицу у Музеју – издавачу на финансијке или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било које друге сукобе интереса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које би могле да утичу на објављење радове и 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знесене резултате у научном или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истраживачком рад у часопису.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ГРЕШКЕ У РАДУ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Ако аутори открију важну грешку у свом раду након његовог објављивања, дужн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 су да о томе одмах обавесте уредника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да са њим сарађују како би се рад повукао или исправио.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 су дужни да предавањем рукописа издавачу часописа – Музеју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поштују наведену обавезу.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ОБАВЕЗА РЕЦЕЗЕНТА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Главни уредник на основу општег акта издава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ча часописа – Музеја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бира рецезента.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Рецезенти евалуирају радове у односу на усклађеност теме рукописа са профилом часописа, ре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левантности истраживане области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пр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имењених метода, оригиналност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научне и стручне релевантност података изнесених у рукопису, стил излагања и опремље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ност текста везаних за научни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истраживачки рад у области театрологије.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Рецензију врши лице које има најмање исто научно или стручно звање аутора рукописа из уже уметничке области за коју врши рецензију. Рецезент је дужан да стр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учно, аргументовано,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непристрасно и у задатим роковим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 достави уреднику оцену научне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односно стручне вредности рукописа.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Рецезент је дужан да када има основану сумњу или сазнање о кршењу етичких стандарда од стране аутора о томе обавести уредника. Он треба да упозори уредника и на битне сличности и подударности 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змеђу рукописа који се разматра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било којег друго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г објављеног рада или рукописа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који се налази у поступку рецензије у неком другом часопису, ако о томе има сазнања.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Рецезент не сме да буде у сукобу интереса са ауторима или са онима који финансирају издавање часописа.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Рецензија 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>мора да буде објективна. Суд рецезента мора да буде јасан и поткрепљен аргументима. Коментари који се тичу аутора сматрају се непримереним.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Рукописи који су послати на рецензију сматрају се поверљивим документима. Рецезенти не смеју да користе необјављене рукописе и материјале предате уз т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ај рукопис за своја истраживања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без изричите писане дозволе аутора. Са информацијама и идејама изнетим у предатим рукописима рецезент м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ора да их чува као поверљиве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они не смеју да се користе како у стицању личне користе рецезен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та, тако и у комерцијалне сврхе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издавача – Музеја.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ПОСТУПАК РЕЦЕНЗИЈЕ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Циљ резенције је да помогне уреднику у доношењу одлуке о томе да рад треба да се прихвати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или одбије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да кроз комуникацију са ауторима побољша квалитет рукописа.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Током поступка рецензије уредник може да захтева да аутор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 доставе додатне информације (укључујући и основне податке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) ако су оне потребне за доношење одлуке о оцене о научном односно стручном доприносу рукописа.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Редакција часописа има право да обезбеди контролу квалитета урађене рецензије. У случају да аутори имају озбиљне и основн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е замерке на урађеној рецензији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 редакција има право да провери да ли је рецензија ураћена објективно и да ли задовољава академске стандарде. Ако се пој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ави сумња у објетивност урађене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рецензије и њеног квалитета, главни уредник у складу са законом има право да тражи мишљење других рецезената.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РЕШАВАЊЕ СПОРНИХ СИТУАЦИЈА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Правна или физичка лица могу, у билом ком тренутку, да главном уреднику пријаве сазн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ање о кршењу етичких стандарда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и других неправилности и да о томе доставе неопходне информације односно доказе.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Провера изнесених навода и доказа</w:t>
      </w:r>
    </w:p>
    <w:p w:rsidR="00A9377A" w:rsidRPr="00677AC6" w:rsidRDefault="00A9377A" w:rsidP="00A9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Уредник ће у договору са редакцијом одлучити о покретању поступка који има за циљ проверу наведених навода и доказа,</w:t>
      </w:r>
    </w:p>
    <w:p w:rsidR="00A9377A" w:rsidRPr="00677AC6" w:rsidRDefault="00A9377A" w:rsidP="00A9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Током поступка сви изнесени докази сматраће се поверљивим и о њима ће бити обавештена само она лица која су директно укључења у поступак.</w:t>
      </w:r>
    </w:p>
    <w:p w:rsidR="00A9377A" w:rsidRPr="00677AC6" w:rsidRDefault="00A9377A" w:rsidP="00A9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Ауторима рукописа за који се сумња да су прекршили етичке стандарде, даће се могућност да у примереном року дају одговоре на доказе који су изнесени против њих,</w:t>
      </w:r>
    </w:p>
    <w:p w:rsidR="00A9377A" w:rsidRPr="00677AC6" w:rsidRDefault="00A9377A" w:rsidP="00A93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Уколико се установи да је дошло до неправилности, уредник ће проценити да ли би требало да се окаректеришу као мањи прекршај или кршење етичких стандарда.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Мањи прекршај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Решаваће се у директној комуникацији са ауторима, обавештавање аутора или рецезента да је до прекршаја дошло из неразумевања или погрешне примене академских ст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андарда са писменим упозорењем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да је учињен мањи прекршај.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Грубо кршење етичких принципа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Главни уредник са уредником и редакцијом доноси одлуку да је дошло до грубог кршења етичких стандарда у рукописима аутора и у том случају предузеће одговарајуће мере, и то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Обја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вљивањем саопштења или уводника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у коме се описује случај кршења етичких стандарда,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Достављање службеног обавештња ауторима, рецезенту,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Повлачење рукописа из даље процедуре уколико је рад објављен у случајевима; кршења права издавача – Музеја носиоца ауторских права или аутора, повреде професионалних етичких кодекса, у случају слања у исто време у више часописа истог рукописа, лажне потврде о ауторству, плагијаторства, манипулације подацима у циљу преваре и у свим другим сличајевима грубог кршења етичких стандарда,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Обавештење аутору да не може да објављује своје радове у часопису, и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Упознавање надлежних инситуција   односно надлежних органа који су по закону надлежни да предузимају одговарајуће мере.</w:t>
      </w:r>
    </w:p>
    <w:p w:rsidR="00A9377A" w:rsidRPr="00677AC6" w:rsidRDefault="00A9377A" w:rsidP="00A93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При решавању спорних ситуација Главни уредник ће се руководити препорукама Одбора за етику у издаваштву /Commitee on Publication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Ethics, COPE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:http://publicationethics.org/resources/.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АУТОРСКА ПРАВА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Рукописи који су прихваћени за објављивање, аутори преносе ауторска права на издавача – Музеј.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У случају да рукописи не буде прихваћен за штампу, аутори задржавају сва права.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На издавача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– Музеј аутори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преносе следећа права: на рукописе, укључујући и додатне материјале и све делове, 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зводе или елементе рукописа, и то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377A" w:rsidRPr="00677AC6" w:rsidRDefault="00A9377A" w:rsidP="00A9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Право да се репродукују и дистрибуирају рукописи у штампаном облику, укључујући и штамање на захтев,</w:t>
      </w:r>
    </w:p>
    <w:p w:rsidR="00A9377A" w:rsidRPr="00677AC6" w:rsidRDefault="00A9377A" w:rsidP="00A9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Право на штампање репринта и специјалних издања рикописа,</w:t>
      </w:r>
    </w:p>
    <w:p w:rsidR="00A9377A" w:rsidRPr="00677AC6" w:rsidRDefault="00A9377A" w:rsidP="00A9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Право да рукописи преведи на други језик,</w:t>
      </w:r>
    </w:p>
    <w:p w:rsidR="00A9377A" w:rsidRPr="00677AC6" w:rsidRDefault="00A9377A" w:rsidP="00A93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Право да се рукописи репродукуу и дистрибуирају електронски или оптички, користећи све носиоце података или медија за похрањивање, у дигитализованој форми или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носачима подата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ка као што су хард диск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CD-Rom, DVD,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Blu –rey Disc (BD), mini disk,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траке са подацима, и право да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 xml:space="preserve"> се репродукују и дистрибуирају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рукописи са тих података,</w:t>
      </w:r>
    </w:p>
    <w:p w:rsidR="00A9377A" w:rsidRPr="00677AC6" w:rsidRDefault="00A9377A" w:rsidP="00A9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Право да се сачувају рукописи у базама података, укључујући и онлајн базе података, као и право преноса рукописа у свим техничким системима и режимима,</w:t>
      </w:r>
    </w:p>
    <w:p w:rsidR="00A9377A" w:rsidRPr="00677AC6" w:rsidRDefault="00A9377A" w:rsidP="00A93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Право да се рукописи учине доступним јавности или затвореним група корисника на основу појединачних захтева за употребу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на монитору или другим читачима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 у штампаној форми за кориснике, било путем интернета, онлајн сервиса или путем интерних или екстерних мрежа.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Часопис „Театронˮ о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могућава ауторима да објављену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верзију рукописа у PDF формату депонују у инс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титуцијалне репрозоторијуме или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некомерцијалне базе података или да га објаве на личним веб стран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ицама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(укључујући и профиле на друштвен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им мрежама за научнике, као што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су Research, Academia.edu i сл.) или на сајту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институци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ја у којој су запослени аутори најраније три месеца након објављивања 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часопису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. У том случају аутори су дужни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 xml:space="preserve"> да наведу издавача – Муз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еј, као носиоца ауторских права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, и изворе рукописа (комплетне библиографске податке).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ОТВОРЕНИ ПРИСТУП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Часопис „Театронˮ доступан је у режиму отвореног приступа. Чланци објављени у часопису могу се бесплатно преузимати на сајту www.mpus.org.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rs и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 ко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ристе се у складу са одредбама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лиценце Creativ Commons ауторство, некомерцијално без прераде. Доступно је, да се копирју и дистрибуирају, уз обавезу корисника да наведе пун библиографски опис чланака објављеног у часопису (аутора, назив рада, назив часописа, волумен, пагинацију), уколико се објављује у електронској форми корисник је дужан да постави HTML – link, како са оригиналним чланком објављеним у часопису, тако и са корисничком лиценцом.</w:t>
      </w:r>
    </w:p>
    <w:p w:rsidR="00A9377A" w:rsidRPr="00677AC6" w:rsidRDefault="0048206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ОДРИЦАЊЕ</w:t>
      </w:r>
      <w:r w:rsidR="00A9377A" w:rsidRPr="00677AC6">
        <w:rPr>
          <w:rFonts w:ascii="Times New Roman" w:eastAsia="Times New Roman" w:hAnsi="Times New Roman" w:cs="Times New Roman"/>
          <w:sz w:val="24"/>
          <w:szCs w:val="24"/>
        </w:rPr>
        <w:t xml:space="preserve"> ОДГОВОРНОСТИ</w:t>
      </w:r>
    </w:p>
    <w:p w:rsidR="00A9377A" w:rsidRPr="00677AC6" w:rsidRDefault="00A9377A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C6">
        <w:rPr>
          <w:rFonts w:ascii="Times New Roman" w:eastAsia="Times New Roman" w:hAnsi="Times New Roman" w:cs="Times New Roman"/>
          <w:sz w:val="24"/>
          <w:szCs w:val="24"/>
        </w:rPr>
        <w:t>Изнесени ставови у објављеним радовима не изражавају ставове уредника и чланова редакције часописа. Аутори предузимају правну и моралну одг</w:t>
      </w:r>
      <w:r w:rsidR="0048206E" w:rsidRPr="00677AC6">
        <w:rPr>
          <w:rFonts w:ascii="Times New Roman" w:eastAsia="Times New Roman" w:hAnsi="Times New Roman" w:cs="Times New Roman"/>
          <w:sz w:val="24"/>
          <w:szCs w:val="24"/>
        </w:rPr>
        <w:t>оворност за ставове изнесене у </w:t>
      </w:r>
      <w:r w:rsidRPr="00677AC6">
        <w:rPr>
          <w:rFonts w:ascii="Times New Roman" w:eastAsia="Times New Roman" w:hAnsi="Times New Roman" w:cs="Times New Roman"/>
          <w:sz w:val="24"/>
          <w:szCs w:val="24"/>
        </w:rPr>
        <w:t>својим радовима. Издавач – Музеј неће сносити никакву одговорност у случају испостављања било каквих захтева за накнаду штете.</w:t>
      </w:r>
    </w:p>
    <w:p w:rsidR="00644A0E" w:rsidRPr="00677AC6" w:rsidRDefault="00644A0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A0E" w:rsidRPr="00677AC6" w:rsidRDefault="00644A0E" w:rsidP="00A9377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A0E" w:rsidRPr="00677AC6" w:rsidRDefault="00644A0E" w:rsidP="00644A0E">
      <w:pPr>
        <w:shd w:val="clear" w:color="auto" w:fill="FFFFFF"/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AC6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</w:t>
      </w:r>
    </w:p>
    <w:p w:rsidR="00644A0E" w:rsidRPr="00677AC6" w:rsidRDefault="00644A0E" w:rsidP="00644A0E">
      <w:pPr>
        <w:shd w:val="clear" w:color="auto" w:fill="FFFFFF"/>
        <w:spacing w:after="11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7AC6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Момчило Ковачевић</w:t>
      </w:r>
    </w:p>
    <w:sectPr w:rsidR="00644A0E" w:rsidRPr="00677AC6" w:rsidSect="00A9377A">
      <w:footerReference w:type="default" r:id="rId10"/>
      <w:pgSz w:w="11907" w:h="16839" w:code="9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DE" w:rsidRDefault="00AE75DE" w:rsidP="00AE75DE">
      <w:pPr>
        <w:spacing w:after="0" w:line="240" w:lineRule="auto"/>
      </w:pPr>
      <w:r>
        <w:separator/>
      </w:r>
    </w:p>
  </w:endnote>
  <w:endnote w:type="continuationSeparator" w:id="0">
    <w:p w:rsidR="00AE75DE" w:rsidRDefault="00AE75DE" w:rsidP="00AE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32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5DE" w:rsidRDefault="00AE7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5DE" w:rsidRDefault="00AE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DE" w:rsidRDefault="00AE75DE" w:rsidP="00AE75DE">
      <w:pPr>
        <w:spacing w:after="0" w:line="240" w:lineRule="auto"/>
      </w:pPr>
      <w:r>
        <w:separator/>
      </w:r>
    </w:p>
  </w:footnote>
  <w:footnote w:type="continuationSeparator" w:id="0">
    <w:p w:rsidR="00AE75DE" w:rsidRDefault="00AE75DE" w:rsidP="00AE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A67"/>
    <w:multiLevelType w:val="multilevel"/>
    <w:tmpl w:val="32F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E13CE"/>
    <w:multiLevelType w:val="multilevel"/>
    <w:tmpl w:val="D4F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D07E9"/>
    <w:multiLevelType w:val="multilevel"/>
    <w:tmpl w:val="656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12D6D"/>
    <w:multiLevelType w:val="multilevel"/>
    <w:tmpl w:val="F3A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77A"/>
    <w:rsid w:val="0003638A"/>
    <w:rsid w:val="001E7C98"/>
    <w:rsid w:val="00233E95"/>
    <w:rsid w:val="0048206E"/>
    <w:rsid w:val="00507B0D"/>
    <w:rsid w:val="00540CB0"/>
    <w:rsid w:val="00644A0E"/>
    <w:rsid w:val="00677AC6"/>
    <w:rsid w:val="00883DE3"/>
    <w:rsid w:val="008B4EB4"/>
    <w:rsid w:val="00973674"/>
    <w:rsid w:val="00A276F1"/>
    <w:rsid w:val="00A9377A"/>
    <w:rsid w:val="00AE75DE"/>
    <w:rsid w:val="00BE6556"/>
    <w:rsid w:val="00FB2DCA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5665"/>
  <w15:docId w15:val="{0E428441-9A87-4A37-98D3-16C7409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CA"/>
  </w:style>
  <w:style w:type="paragraph" w:styleId="Heading3">
    <w:name w:val="heading 3"/>
    <w:basedOn w:val="Normal"/>
    <w:link w:val="Heading3Char"/>
    <w:uiPriority w:val="9"/>
    <w:qFormat/>
    <w:rsid w:val="00A93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37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93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DE"/>
  </w:style>
  <w:style w:type="paragraph" w:styleId="Footer">
    <w:name w:val="footer"/>
    <w:basedOn w:val="Normal"/>
    <w:link w:val="FooterChar"/>
    <w:uiPriority w:val="99"/>
    <w:unhideWhenUsed/>
    <w:rsid w:val="00AE7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mpus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A8FF-4D9D-4A32-9405-5F018D97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2414</Words>
  <Characters>13814</Characters>
  <Application>Microsoft Office Word</Application>
  <DocSecurity>0</DocSecurity>
  <Lines>238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Windows User</cp:lastModifiedBy>
  <cp:revision>8</cp:revision>
  <cp:lastPrinted>2018-05-18T12:03:00Z</cp:lastPrinted>
  <dcterms:created xsi:type="dcterms:W3CDTF">2018-05-18T10:41:00Z</dcterms:created>
  <dcterms:modified xsi:type="dcterms:W3CDTF">2018-05-18T12:16:00Z</dcterms:modified>
</cp:coreProperties>
</file>